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FD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z w:val="44"/>
          <w:szCs w:val="44"/>
        </w:rPr>
        <w:t>林芝市</w:t>
      </w:r>
      <w:r>
        <w:rPr>
          <w:rFonts w:hint="eastAsia" w:ascii="方正小标宋简体" w:hAnsi="方正小标宋简体" w:eastAsia="方正小标宋简体" w:cs="方正小标宋简体"/>
          <w:snapToGrid w:val="0"/>
          <w:sz w:val="44"/>
          <w:szCs w:val="44"/>
          <w:lang w:val="en-US" w:eastAsia="zh-CN"/>
        </w:rPr>
        <w:t>市直教育系统</w:t>
      </w:r>
      <w:r>
        <w:rPr>
          <w:rFonts w:hint="eastAsia" w:ascii="方正小标宋简体" w:hAnsi="方正小标宋简体" w:eastAsia="方正小标宋简体" w:cs="方正小标宋简体"/>
          <w:snapToGrid w:val="0"/>
          <w:sz w:val="44"/>
          <w:szCs w:val="44"/>
        </w:rPr>
        <w:t>2025年度</w:t>
      </w:r>
    </w:p>
    <w:p w14:paraId="7044E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z w:val="44"/>
          <w:szCs w:val="44"/>
        </w:rPr>
        <w:t>部门整体支出绩效自评报告</w:t>
      </w:r>
    </w:p>
    <w:p w14:paraId="72900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（2025年度）</w:t>
      </w:r>
    </w:p>
    <w:p w14:paraId="55B06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</w:rPr>
      </w:pPr>
      <w:r>
        <w:rPr>
          <w:rFonts w:hint="eastAsia" w:eastAsia="仿宋_GB2312"/>
          <w:snapToGrid w:val="0"/>
          <w:sz w:val="32"/>
        </w:rPr>
        <w:t>一、部门概况</w:t>
      </w:r>
    </w:p>
    <w:p w14:paraId="00654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26" w:firstLineChars="200"/>
        <w:textAlignment w:val="auto"/>
        <w:rPr>
          <w:rFonts w:hint="eastAsia" w:ascii="楷体" w:hAnsi="楷体" w:eastAsia="楷体" w:cs="楷体"/>
          <w:snapToGrid w:val="0"/>
          <w:spacing w:val="-6"/>
          <w:sz w:val="32"/>
        </w:rPr>
      </w:pPr>
      <w:r>
        <w:rPr>
          <w:rFonts w:hint="eastAsia" w:ascii="楷体" w:hAnsi="楷体" w:eastAsia="楷体" w:cs="楷体"/>
          <w:snapToGrid w:val="0"/>
          <w:spacing w:val="-6"/>
          <w:sz w:val="32"/>
        </w:rPr>
        <w:t>（一）部门主要职责职能、组织架构、人员及资产基本情况</w:t>
      </w:r>
    </w:p>
    <w:p w14:paraId="0B3C7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林芝市教育局是市人民政府组成部门，主要负责全市教育事业和体育事业的发展规划、政策制定、统筹协调、监督管理等工作。主要职责包括：落实立德树人根本任务，推进基础教育、职业教育、特殊教育、体育事业发展，管理教育经费、教育基建项目，指导学校党建、思想政治、安全稳定等工作。</w:t>
      </w:r>
    </w:p>
    <w:p w14:paraId="3A6023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截至2025年底，全市共有各级各类学校330所，在校生4.95万人，教职工4759人，其中专任教师4722人。局机关内设科室15个，直属事业单位5个，资产总额稳步增长，固定资产管理规范。</w:t>
      </w:r>
    </w:p>
    <w:p w14:paraId="70ACC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26" w:firstLineChars="200"/>
        <w:textAlignment w:val="auto"/>
        <w:rPr>
          <w:rFonts w:hint="eastAsia" w:ascii="楷体" w:hAnsi="楷体" w:eastAsia="楷体" w:cs="楷体"/>
          <w:snapToGrid w:val="0"/>
          <w:spacing w:val="-6"/>
          <w:sz w:val="32"/>
        </w:rPr>
      </w:pPr>
      <w:r>
        <w:rPr>
          <w:rFonts w:hint="eastAsia" w:ascii="楷体" w:hAnsi="楷体" w:eastAsia="楷体" w:cs="楷体"/>
          <w:snapToGrid w:val="0"/>
          <w:spacing w:val="-6"/>
          <w:sz w:val="32"/>
        </w:rPr>
        <w:t>（二）当年部门履职总体目标、工作任务</w:t>
      </w:r>
    </w:p>
    <w:p w14:paraId="5B772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2025年，林芝市教育局围绕“教育强市”建设目标，落实《教育强市建设规划纲要（2025</w:t>
      </w:r>
      <w:r>
        <w:rPr>
          <w:rFonts w:hint="eastAsia" w:eastAsia="仿宋_GB2312"/>
          <w:snapToGrid w:val="0"/>
          <w:sz w:val="32"/>
          <w:lang w:eastAsia="zh-CN"/>
        </w:rPr>
        <w:t>—</w:t>
      </w:r>
      <w:r>
        <w:rPr>
          <w:rFonts w:hint="eastAsia" w:eastAsia="仿宋_GB2312"/>
          <w:snapToGrid w:val="0"/>
          <w:sz w:val="32"/>
        </w:rPr>
        <w:t>2035年）》，实施“铸魂、夯基、提质、强师、护苗”五大工程，统筹推进教育高质量发展和体育事业融合发展，办好人民满意的教育。</w:t>
      </w:r>
    </w:p>
    <w:p w14:paraId="51842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主要工作任务包括：推进思政课一体化建设，铸牢中华民族共同体意识；扩大基础教育资源供给，提升教育质量；深化职业教育产教融合；实施“教师队伍建设提升年”十大工程；筑牢校园安全防线；推动“体育+文旅”融合发展，举办高水平体育赛事。</w:t>
      </w:r>
    </w:p>
    <w:p w14:paraId="4EDCE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26" w:firstLineChars="200"/>
        <w:textAlignment w:val="auto"/>
        <w:rPr>
          <w:rFonts w:hint="eastAsia" w:ascii="楷体" w:hAnsi="楷体" w:eastAsia="楷体" w:cs="楷体"/>
          <w:snapToGrid w:val="0"/>
          <w:spacing w:val="-6"/>
          <w:sz w:val="32"/>
        </w:rPr>
      </w:pPr>
      <w:r>
        <w:rPr>
          <w:rFonts w:hint="eastAsia" w:ascii="楷体" w:hAnsi="楷体" w:eastAsia="楷体" w:cs="楷体"/>
          <w:snapToGrid w:val="0"/>
          <w:spacing w:val="-6"/>
          <w:sz w:val="32"/>
        </w:rPr>
        <w:t>（三）当年部门年度整体支出绩效目标</w:t>
      </w:r>
    </w:p>
    <w:p w14:paraId="3F112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根据《部门整体目标填报表》，2025年度林芝市</w:t>
      </w:r>
      <w:r>
        <w:rPr>
          <w:rFonts w:hint="eastAsia" w:eastAsia="仿宋_GB2312"/>
          <w:snapToGrid w:val="0"/>
          <w:sz w:val="32"/>
          <w:lang w:val="en-US" w:eastAsia="zh-CN"/>
        </w:rPr>
        <w:t>市直教育系统</w:t>
      </w:r>
      <w:r>
        <w:rPr>
          <w:rFonts w:hint="eastAsia" w:eastAsia="仿宋_GB2312"/>
          <w:snapToGrid w:val="0"/>
          <w:sz w:val="32"/>
        </w:rPr>
        <w:t>整体支出预算总额为96604.88万元，其中：基本支出：60132.78万元（全部为财政拨款）；项目支出：36472.1</w:t>
      </w:r>
      <w:r>
        <w:rPr>
          <w:rFonts w:hint="eastAsia" w:eastAsia="仿宋_GB2312"/>
          <w:snapToGrid w:val="0"/>
          <w:sz w:val="32"/>
          <w:lang w:val="en-US" w:eastAsia="zh-CN"/>
        </w:rPr>
        <w:t>0</w:t>
      </w:r>
      <w:r>
        <w:rPr>
          <w:rFonts w:hint="eastAsia" w:eastAsia="仿宋_GB2312"/>
          <w:snapToGrid w:val="0"/>
          <w:sz w:val="32"/>
        </w:rPr>
        <w:t>万元（全部为财政拨款）。</w:t>
      </w:r>
    </w:p>
    <w:p w14:paraId="49BD3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整体绩效目标为：落实立德树人根本任务，培养德智体美劳全面发展的社会主义建设者和接班人，办好人民满意的教育。</w:t>
      </w:r>
    </w:p>
    <w:p w14:paraId="79AB6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主要绩效指标涵盖：初中毛入学率、高中毛入学率、学前毛入学率、义务教育巩固率；教育事业费落实、学校数量、教职工工资增长率；体育赛事带动经济效益、群众体育活动参与人数；校园安全、民族团结进步学校创建、思政教师培训等。</w:t>
      </w:r>
    </w:p>
    <w:p w14:paraId="56C94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26" w:firstLineChars="200"/>
        <w:textAlignment w:val="auto"/>
        <w:rPr>
          <w:rFonts w:hint="eastAsia" w:ascii="楷体" w:hAnsi="楷体" w:eastAsia="楷体" w:cs="楷体"/>
          <w:snapToGrid w:val="0"/>
          <w:spacing w:val="-6"/>
          <w:sz w:val="32"/>
        </w:rPr>
      </w:pPr>
      <w:r>
        <w:rPr>
          <w:rFonts w:hint="eastAsia" w:ascii="楷体" w:hAnsi="楷体" w:eastAsia="楷体" w:cs="楷体"/>
          <w:snapToGrid w:val="0"/>
          <w:spacing w:val="-6"/>
          <w:sz w:val="32"/>
        </w:rPr>
        <w:t>（四）部门预算绩效管理开展情况</w:t>
      </w:r>
    </w:p>
    <w:p w14:paraId="3B579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2025年，市教育局持续推进预算绩效管理：建立健全“预算编制有目标、预算执行有监控、预算完成有评价、评价结果有应用”的全过程绩效管理机制；对重点项目支出开展绩效跟踪监控；组织开展部门整体支出绩效自评，细化绩效指标到科室、到项目；将绩效评价结果与下年度预算安排挂钩，提升资金使用效益。</w:t>
      </w:r>
    </w:p>
    <w:p w14:paraId="7183C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ascii="楷体" w:hAnsi="楷体" w:eastAsia="楷体" w:cs="楷体"/>
          <w:snapToGrid w:val="0"/>
          <w:sz w:val="32"/>
        </w:rPr>
      </w:pPr>
      <w:r>
        <w:rPr>
          <w:rFonts w:hint="eastAsia" w:ascii="楷体" w:hAnsi="楷体" w:eastAsia="楷体" w:cs="楷体"/>
          <w:snapToGrid w:val="0"/>
          <w:sz w:val="32"/>
        </w:rPr>
        <w:t>（五）当年部门预算及执行情况</w:t>
      </w:r>
    </w:p>
    <w:p w14:paraId="5796E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2025年，</w:t>
      </w:r>
      <w:r>
        <w:rPr>
          <w:rFonts w:hint="eastAsia" w:eastAsia="仿宋_GB2312"/>
          <w:snapToGrid w:val="0"/>
          <w:sz w:val="32"/>
          <w:lang w:val="en-US" w:eastAsia="zh-CN"/>
        </w:rPr>
        <w:t>林芝市市直教育系统</w:t>
      </w:r>
      <w:r>
        <w:rPr>
          <w:rFonts w:hint="eastAsia" w:eastAsia="仿宋_GB2312"/>
          <w:snapToGrid w:val="0"/>
          <w:sz w:val="32"/>
        </w:rPr>
        <w:t>部门整体支出预算总额9</w:t>
      </w:r>
      <w:r>
        <w:rPr>
          <w:rFonts w:hint="eastAsia" w:eastAsia="仿宋_GB2312"/>
          <w:snapToGrid w:val="0"/>
          <w:sz w:val="32"/>
          <w:lang w:val="en-US" w:eastAsia="zh-CN"/>
        </w:rPr>
        <w:t>9798.43</w:t>
      </w:r>
      <w:r>
        <w:rPr>
          <w:rFonts w:hint="eastAsia" w:eastAsia="仿宋_GB2312"/>
          <w:snapToGrid w:val="0"/>
          <w:sz w:val="32"/>
        </w:rPr>
        <w:t>万元，截至年底，实际执行96604.88万元左右（根据总结数据估算），执行率约96.8</w:t>
      </w:r>
      <w:r>
        <w:rPr>
          <w:rFonts w:hint="eastAsia" w:eastAsia="仿宋_GB2312"/>
          <w:snapToGrid w:val="0"/>
          <w:sz w:val="32"/>
          <w:lang w:val="en-US" w:eastAsia="zh-CN"/>
        </w:rPr>
        <w:t>0</w:t>
      </w:r>
      <w:r>
        <w:rPr>
          <w:rFonts w:hint="eastAsia" w:eastAsia="仿宋_GB2312"/>
          <w:snapToGrid w:val="0"/>
          <w:sz w:val="32"/>
        </w:rPr>
        <w:t>%。其中：</w:t>
      </w:r>
      <w:r>
        <w:rPr>
          <w:rFonts w:hint="eastAsia" w:eastAsia="仿宋_GB2312"/>
          <w:snapToGrid w:val="0"/>
          <w:sz w:val="32"/>
          <w:lang w:val="en-US" w:eastAsia="zh-CN"/>
        </w:rPr>
        <w:t>全市</w:t>
      </w:r>
      <w:r>
        <w:rPr>
          <w:rFonts w:hint="eastAsia" w:eastAsia="仿宋_GB2312"/>
          <w:snapToGrid w:val="0"/>
          <w:sz w:val="32"/>
        </w:rPr>
        <w:t>教育事业经费落实14.39亿元（含上级转移支付）；教育系统建设项目有序推进；体育赛事、全民健身、教师培训等重点项目支出执行良好。</w:t>
      </w:r>
    </w:p>
    <w:p w14:paraId="18843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ascii="黑体" w:hAnsi="黑体" w:eastAsia="黑体" w:cs="黑体"/>
          <w:snapToGrid w:val="0"/>
          <w:sz w:val="32"/>
        </w:rPr>
      </w:pPr>
      <w:r>
        <w:rPr>
          <w:rFonts w:hint="eastAsia" w:ascii="黑体" w:hAnsi="黑体" w:eastAsia="黑体" w:cs="黑体"/>
          <w:snapToGrid w:val="0"/>
          <w:sz w:val="32"/>
        </w:rPr>
        <w:t>二、部门整体支出绩效实现情况</w:t>
      </w:r>
    </w:p>
    <w:p w14:paraId="0E81E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ascii="楷体" w:hAnsi="楷体" w:eastAsia="楷体" w:cs="楷体"/>
          <w:snapToGrid w:val="0"/>
          <w:sz w:val="32"/>
        </w:rPr>
      </w:pPr>
      <w:r>
        <w:rPr>
          <w:rFonts w:hint="eastAsia" w:ascii="楷体" w:hAnsi="楷体" w:eastAsia="楷体" w:cs="楷体"/>
          <w:snapToGrid w:val="0"/>
          <w:sz w:val="32"/>
        </w:rPr>
        <w:t>（一）履职完成情况</w:t>
      </w:r>
    </w:p>
    <w:p w14:paraId="79B12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</w:rPr>
      </w:pPr>
      <w:r>
        <w:rPr>
          <w:rFonts w:hint="eastAsia" w:eastAsia="仿宋_GB2312"/>
          <w:snapToGrid w:val="0"/>
          <w:sz w:val="32"/>
        </w:rPr>
        <w:t>1.数量指标完成情况</w:t>
      </w:r>
    </w:p>
    <w:tbl>
      <w:tblPr>
        <w:tblStyle w:val="5"/>
        <w:tblW w:w="9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8"/>
        <w:gridCol w:w="1720"/>
        <w:gridCol w:w="1974"/>
        <w:gridCol w:w="1719"/>
      </w:tblGrid>
      <w:tr w14:paraId="5D6DC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649" w:type="dxa"/>
            <w:vAlign w:val="center"/>
          </w:tcPr>
          <w:p w14:paraId="432CD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b/>
                <w:snapToGrid w:val="0"/>
                <w:sz w:val="32"/>
              </w:rPr>
            </w:pPr>
            <w:r>
              <w:rPr>
                <w:rFonts w:hint="eastAsia" w:eastAsia="仿宋_GB2312"/>
                <w:b/>
                <w:snapToGrid w:val="0"/>
                <w:sz w:val="32"/>
              </w:rPr>
              <w:t>指标名称</w:t>
            </w:r>
          </w:p>
        </w:tc>
        <w:tc>
          <w:tcPr>
            <w:tcW w:w="1720" w:type="dxa"/>
            <w:vAlign w:val="center"/>
          </w:tcPr>
          <w:p w14:paraId="193DB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b/>
                <w:snapToGrid w:val="0"/>
                <w:sz w:val="32"/>
              </w:rPr>
            </w:pPr>
            <w:r>
              <w:rPr>
                <w:rFonts w:hint="eastAsia" w:eastAsia="仿宋_GB2312"/>
                <w:b/>
                <w:snapToGrid w:val="0"/>
                <w:sz w:val="32"/>
              </w:rPr>
              <w:t>目标值</w:t>
            </w:r>
          </w:p>
        </w:tc>
        <w:tc>
          <w:tcPr>
            <w:tcW w:w="1974" w:type="dxa"/>
            <w:vAlign w:val="center"/>
          </w:tcPr>
          <w:p w14:paraId="633BD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b/>
                <w:snapToGrid w:val="0"/>
                <w:sz w:val="32"/>
              </w:rPr>
            </w:pPr>
            <w:r>
              <w:rPr>
                <w:rFonts w:hint="eastAsia" w:eastAsia="仿宋_GB2312"/>
                <w:b/>
                <w:snapToGrid w:val="0"/>
                <w:sz w:val="32"/>
              </w:rPr>
              <w:t>实际完成值</w:t>
            </w:r>
          </w:p>
        </w:tc>
        <w:tc>
          <w:tcPr>
            <w:tcW w:w="1719" w:type="dxa"/>
            <w:vAlign w:val="center"/>
          </w:tcPr>
          <w:p w14:paraId="0C2D3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b/>
                <w:snapToGrid w:val="0"/>
                <w:sz w:val="32"/>
              </w:rPr>
            </w:pPr>
            <w:r>
              <w:rPr>
                <w:rFonts w:hint="eastAsia" w:eastAsia="仿宋_GB2312"/>
                <w:b/>
                <w:snapToGrid w:val="0"/>
                <w:sz w:val="32"/>
              </w:rPr>
              <w:t>完成情况</w:t>
            </w:r>
          </w:p>
        </w:tc>
      </w:tr>
      <w:tr w14:paraId="3861C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49" w:type="dxa"/>
            <w:vAlign w:val="center"/>
          </w:tcPr>
          <w:p w14:paraId="30547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初中毛入学率</w:t>
            </w:r>
          </w:p>
        </w:tc>
        <w:tc>
          <w:tcPr>
            <w:tcW w:w="1720" w:type="dxa"/>
            <w:vAlign w:val="center"/>
          </w:tcPr>
          <w:p w14:paraId="369A2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≤100%</w:t>
            </w:r>
          </w:p>
        </w:tc>
        <w:tc>
          <w:tcPr>
            <w:tcW w:w="1974" w:type="dxa"/>
            <w:vAlign w:val="center"/>
          </w:tcPr>
          <w:p w14:paraId="1F552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106.76%</w:t>
            </w:r>
          </w:p>
        </w:tc>
        <w:tc>
          <w:tcPr>
            <w:tcW w:w="1719" w:type="dxa"/>
            <w:vAlign w:val="center"/>
          </w:tcPr>
          <w:p w14:paraId="45428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  <w:lang w:val="en-US" w:eastAsia="zh-CN"/>
              </w:rPr>
              <w:t>接近完成</w:t>
            </w:r>
          </w:p>
        </w:tc>
      </w:tr>
      <w:tr w14:paraId="5E951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49" w:type="dxa"/>
            <w:vAlign w:val="center"/>
          </w:tcPr>
          <w:p w14:paraId="03EAD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高中毛入学率</w:t>
            </w:r>
          </w:p>
        </w:tc>
        <w:tc>
          <w:tcPr>
            <w:tcW w:w="1720" w:type="dxa"/>
            <w:vAlign w:val="center"/>
          </w:tcPr>
          <w:p w14:paraId="735F1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≥85%</w:t>
            </w:r>
          </w:p>
        </w:tc>
        <w:tc>
          <w:tcPr>
            <w:tcW w:w="1974" w:type="dxa"/>
            <w:vAlign w:val="center"/>
          </w:tcPr>
          <w:p w14:paraId="2B48A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93.66%</w:t>
            </w:r>
          </w:p>
        </w:tc>
        <w:tc>
          <w:tcPr>
            <w:tcW w:w="1719" w:type="dxa"/>
            <w:vAlign w:val="center"/>
          </w:tcPr>
          <w:p w14:paraId="4D5EA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超额完成</w:t>
            </w:r>
          </w:p>
        </w:tc>
      </w:tr>
      <w:tr w14:paraId="283D1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49" w:type="dxa"/>
            <w:vAlign w:val="center"/>
          </w:tcPr>
          <w:p w14:paraId="0BC2B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学前毛入学率</w:t>
            </w:r>
          </w:p>
        </w:tc>
        <w:tc>
          <w:tcPr>
            <w:tcW w:w="1720" w:type="dxa"/>
            <w:vAlign w:val="center"/>
          </w:tcPr>
          <w:p w14:paraId="5437F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≥90%</w:t>
            </w:r>
          </w:p>
        </w:tc>
        <w:tc>
          <w:tcPr>
            <w:tcW w:w="1974" w:type="dxa"/>
            <w:vAlign w:val="center"/>
          </w:tcPr>
          <w:p w14:paraId="74384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96.30%</w:t>
            </w:r>
          </w:p>
        </w:tc>
        <w:tc>
          <w:tcPr>
            <w:tcW w:w="1719" w:type="dxa"/>
            <w:vAlign w:val="center"/>
          </w:tcPr>
          <w:p w14:paraId="3714C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超额完成</w:t>
            </w:r>
          </w:p>
        </w:tc>
      </w:tr>
      <w:tr w14:paraId="1BC23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49" w:type="dxa"/>
            <w:vAlign w:val="center"/>
          </w:tcPr>
          <w:p w14:paraId="5E442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义务教育巩固率</w:t>
            </w:r>
          </w:p>
        </w:tc>
        <w:tc>
          <w:tcPr>
            <w:tcW w:w="1720" w:type="dxa"/>
            <w:vAlign w:val="center"/>
          </w:tcPr>
          <w:p w14:paraId="1D989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≥95%</w:t>
            </w:r>
          </w:p>
        </w:tc>
        <w:tc>
          <w:tcPr>
            <w:tcW w:w="1974" w:type="dxa"/>
            <w:vAlign w:val="center"/>
          </w:tcPr>
          <w:p w14:paraId="02846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98.03%</w:t>
            </w:r>
          </w:p>
        </w:tc>
        <w:tc>
          <w:tcPr>
            <w:tcW w:w="1719" w:type="dxa"/>
            <w:vAlign w:val="center"/>
          </w:tcPr>
          <w:p w14:paraId="42174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超额完成</w:t>
            </w:r>
          </w:p>
        </w:tc>
      </w:tr>
      <w:tr w14:paraId="13F67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49" w:type="dxa"/>
            <w:vAlign w:val="center"/>
          </w:tcPr>
          <w:p w14:paraId="36E0E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小学净入学率</w:t>
            </w:r>
          </w:p>
        </w:tc>
        <w:tc>
          <w:tcPr>
            <w:tcW w:w="1720" w:type="dxa"/>
            <w:vAlign w:val="center"/>
          </w:tcPr>
          <w:p w14:paraId="66A82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≤100%</w:t>
            </w:r>
          </w:p>
        </w:tc>
        <w:tc>
          <w:tcPr>
            <w:tcW w:w="1974" w:type="dxa"/>
            <w:vAlign w:val="center"/>
          </w:tcPr>
          <w:p w14:paraId="7272D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100%</w:t>
            </w:r>
          </w:p>
        </w:tc>
        <w:tc>
          <w:tcPr>
            <w:tcW w:w="1719" w:type="dxa"/>
            <w:vAlign w:val="center"/>
          </w:tcPr>
          <w:p w14:paraId="356B6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完成</w:t>
            </w:r>
          </w:p>
        </w:tc>
      </w:tr>
      <w:tr w14:paraId="7245F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49" w:type="dxa"/>
            <w:vAlign w:val="center"/>
          </w:tcPr>
          <w:p w14:paraId="72F79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  <w:lang w:val="en-US" w:eastAsia="zh-CN"/>
              </w:rPr>
              <w:t>全市</w:t>
            </w:r>
            <w:r>
              <w:rPr>
                <w:rFonts w:hint="eastAsia" w:eastAsia="仿宋_GB2312"/>
                <w:snapToGrid w:val="0"/>
                <w:sz w:val="32"/>
              </w:rPr>
              <w:t>学校数量</w:t>
            </w:r>
          </w:p>
        </w:tc>
        <w:tc>
          <w:tcPr>
            <w:tcW w:w="1720" w:type="dxa"/>
            <w:vAlign w:val="center"/>
          </w:tcPr>
          <w:p w14:paraId="6F6CF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≥300所</w:t>
            </w:r>
          </w:p>
        </w:tc>
        <w:tc>
          <w:tcPr>
            <w:tcW w:w="1974" w:type="dxa"/>
            <w:vAlign w:val="center"/>
          </w:tcPr>
          <w:p w14:paraId="26E94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330所</w:t>
            </w:r>
          </w:p>
        </w:tc>
        <w:tc>
          <w:tcPr>
            <w:tcW w:w="1719" w:type="dxa"/>
            <w:vAlign w:val="center"/>
          </w:tcPr>
          <w:p w14:paraId="042B1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超额完成</w:t>
            </w:r>
          </w:p>
        </w:tc>
      </w:tr>
      <w:tr w14:paraId="7EB59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49" w:type="dxa"/>
            <w:vAlign w:val="center"/>
          </w:tcPr>
          <w:p w14:paraId="4D9B4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落实教育事业费投资</w:t>
            </w:r>
          </w:p>
        </w:tc>
        <w:tc>
          <w:tcPr>
            <w:tcW w:w="1720" w:type="dxa"/>
            <w:vAlign w:val="center"/>
          </w:tcPr>
          <w:p w14:paraId="2B44E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≥8亿元</w:t>
            </w:r>
          </w:p>
        </w:tc>
        <w:tc>
          <w:tcPr>
            <w:tcW w:w="1974" w:type="dxa"/>
            <w:vAlign w:val="center"/>
          </w:tcPr>
          <w:p w14:paraId="768D7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14.39亿元</w:t>
            </w:r>
          </w:p>
        </w:tc>
        <w:tc>
          <w:tcPr>
            <w:tcW w:w="1719" w:type="dxa"/>
            <w:vAlign w:val="center"/>
          </w:tcPr>
          <w:p w14:paraId="372BA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超额完成</w:t>
            </w:r>
          </w:p>
        </w:tc>
      </w:tr>
      <w:tr w14:paraId="49262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49" w:type="dxa"/>
            <w:vAlign w:val="center"/>
          </w:tcPr>
          <w:p w14:paraId="58DCB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b/>
                <w:snapToGrid w:val="0"/>
                <w:sz w:val="32"/>
              </w:rPr>
            </w:pPr>
            <w:r>
              <w:rPr>
                <w:rFonts w:hint="eastAsia" w:eastAsia="仿宋_GB2312"/>
                <w:b/>
                <w:snapToGrid w:val="0"/>
                <w:sz w:val="32"/>
              </w:rPr>
              <w:t>全市学生总数</w:t>
            </w:r>
          </w:p>
        </w:tc>
        <w:tc>
          <w:tcPr>
            <w:tcW w:w="1720" w:type="dxa"/>
            <w:vAlign w:val="center"/>
          </w:tcPr>
          <w:p w14:paraId="4C34A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b/>
                <w:snapToGrid w:val="0"/>
                <w:sz w:val="32"/>
              </w:rPr>
            </w:pPr>
            <w:r>
              <w:rPr>
                <w:rFonts w:hint="eastAsia" w:eastAsia="仿宋_GB2312"/>
                <w:b/>
                <w:snapToGrid w:val="0"/>
                <w:sz w:val="32"/>
              </w:rPr>
              <w:t>≥4</w:t>
            </w:r>
            <w:r>
              <w:rPr>
                <w:rFonts w:hint="eastAsia" w:eastAsia="仿宋_GB2312"/>
                <w:b/>
                <w:snapToGrid w:val="0"/>
                <w:sz w:val="32"/>
                <w:lang w:val="en-US" w:eastAsia="zh-CN"/>
              </w:rPr>
              <w:t>万</w:t>
            </w:r>
            <w:r>
              <w:rPr>
                <w:rFonts w:hint="eastAsia" w:eastAsia="仿宋_GB2312"/>
                <w:b/>
                <w:snapToGrid w:val="0"/>
                <w:sz w:val="32"/>
              </w:rPr>
              <w:t>人</w:t>
            </w:r>
          </w:p>
        </w:tc>
        <w:tc>
          <w:tcPr>
            <w:tcW w:w="1974" w:type="dxa"/>
            <w:vAlign w:val="center"/>
          </w:tcPr>
          <w:p w14:paraId="43C97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eastAsia="仿宋_GB2312"/>
                <w:b/>
                <w:snapToGrid w:val="0"/>
                <w:sz w:val="32"/>
              </w:rPr>
            </w:pPr>
            <w:r>
              <w:rPr>
                <w:rFonts w:hint="eastAsia" w:eastAsia="仿宋_GB2312"/>
                <w:b/>
                <w:snapToGrid w:val="0"/>
                <w:sz w:val="32"/>
              </w:rPr>
              <w:t>4</w:t>
            </w:r>
            <w:r>
              <w:rPr>
                <w:rFonts w:hint="eastAsia" w:eastAsia="仿宋_GB2312"/>
                <w:b/>
                <w:snapToGrid w:val="0"/>
                <w:sz w:val="32"/>
                <w:lang w:val="en-US" w:eastAsia="zh-CN"/>
              </w:rPr>
              <w:t>.</w:t>
            </w:r>
            <w:r>
              <w:rPr>
                <w:rFonts w:hint="eastAsia" w:eastAsia="仿宋_GB2312"/>
                <w:b/>
                <w:snapToGrid w:val="0"/>
                <w:sz w:val="32"/>
              </w:rPr>
              <w:t>95</w:t>
            </w:r>
            <w:r>
              <w:rPr>
                <w:rFonts w:hint="eastAsia" w:eastAsia="仿宋_GB2312"/>
                <w:b/>
                <w:snapToGrid w:val="0"/>
                <w:sz w:val="32"/>
                <w:lang w:val="en-US" w:eastAsia="zh-CN"/>
              </w:rPr>
              <w:t>万</w:t>
            </w:r>
            <w:r>
              <w:rPr>
                <w:rFonts w:hint="eastAsia" w:eastAsia="仿宋_GB2312"/>
                <w:b/>
                <w:snapToGrid w:val="0"/>
                <w:sz w:val="32"/>
              </w:rPr>
              <w:t>人</w:t>
            </w:r>
          </w:p>
        </w:tc>
        <w:tc>
          <w:tcPr>
            <w:tcW w:w="1719" w:type="dxa"/>
            <w:vAlign w:val="center"/>
          </w:tcPr>
          <w:p w14:paraId="6CEC8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b/>
                <w:snapToGrid w:val="0"/>
                <w:sz w:val="32"/>
              </w:rPr>
            </w:pPr>
            <w:r>
              <w:rPr>
                <w:rFonts w:hint="eastAsia" w:eastAsia="仿宋_GB2312"/>
                <w:b/>
                <w:snapToGrid w:val="0"/>
                <w:sz w:val="32"/>
              </w:rPr>
              <w:t>超额完成</w:t>
            </w:r>
          </w:p>
        </w:tc>
      </w:tr>
      <w:tr w14:paraId="7254D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49" w:type="dxa"/>
            <w:vAlign w:val="center"/>
          </w:tcPr>
          <w:p w14:paraId="00747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交流互访实践数量</w:t>
            </w:r>
          </w:p>
        </w:tc>
        <w:tc>
          <w:tcPr>
            <w:tcW w:w="1720" w:type="dxa"/>
            <w:vAlign w:val="center"/>
          </w:tcPr>
          <w:p w14:paraId="6E685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≥10场次</w:t>
            </w:r>
          </w:p>
        </w:tc>
        <w:tc>
          <w:tcPr>
            <w:tcW w:w="1974" w:type="dxa"/>
            <w:vAlign w:val="center"/>
          </w:tcPr>
          <w:p w14:paraId="2FE2C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eastAsia="仿宋_GB2312"/>
                <w:snapToGrid w:val="0"/>
                <w:sz w:val="32"/>
                <w:lang w:val="en-US" w:eastAsia="zh-CN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10</w:t>
            </w:r>
            <w:r>
              <w:rPr>
                <w:rFonts w:hint="eastAsia" w:eastAsia="仿宋_GB2312"/>
                <w:snapToGrid w:val="0"/>
                <w:sz w:val="32"/>
                <w:lang w:val="en-US" w:eastAsia="zh-CN"/>
              </w:rPr>
              <w:t>场次</w:t>
            </w:r>
          </w:p>
        </w:tc>
        <w:tc>
          <w:tcPr>
            <w:tcW w:w="1719" w:type="dxa"/>
            <w:vAlign w:val="center"/>
          </w:tcPr>
          <w:p w14:paraId="4054E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完成</w:t>
            </w:r>
          </w:p>
        </w:tc>
      </w:tr>
      <w:tr w14:paraId="6E8C3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49" w:type="dxa"/>
            <w:vAlign w:val="center"/>
          </w:tcPr>
          <w:p w14:paraId="7F3E9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校园安全巡查次数</w:t>
            </w:r>
          </w:p>
        </w:tc>
        <w:tc>
          <w:tcPr>
            <w:tcW w:w="1720" w:type="dxa"/>
            <w:vAlign w:val="center"/>
          </w:tcPr>
          <w:p w14:paraId="17A31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≥800次</w:t>
            </w:r>
          </w:p>
        </w:tc>
        <w:tc>
          <w:tcPr>
            <w:tcW w:w="1974" w:type="dxa"/>
            <w:vAlign w:val="center"/>
          </w:tcPr>
          <w:p w14:paraId="5125F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1000余次</w:t>
            </w:r>
          </w:p>
        </w:tc>
        <w:tc>
          <w:tcPr>
            <w:tcW w:w="1719" w:type="dxa"/>
            <w:vAlign w:val="center"/>
          </w:tcPr>
          <w:p w14:paraId="1A697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超额完成</w:t>
            </w:r>
          </w:p>
        </w:tc>
      </w:tr>
      <w:tr w14:paraId="1F09A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49" w:type="dxa"/>
            <w:vAlign w:val="center"/>
          </w:tcPr>
          <w:p w14:paraId="21979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民族团结进步模范学校</w:t>
            </w:r>
          </w:p>
        </w:tc>
        <w:tc>
          <w:tcPr>
            <w:tcW w:w="1720" w:type="dxa"/>
            <w:vAlign w:val="center"/>
          </w:tcPr>
          <w:p w14:paraId="2F2F2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≥15所</w:t>
            </w:r>
          </w:p>
        </w:tc>
        <w:tc>
          <w:tcPr>
            <w:tcW w:w="1974" w:type="dxa"/>
            <w:vAlign w:val="center"/>
          </w:tcPr>
          <w:p w14:paraId="29E34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13所</w:t>
            </w:r>
          </w:p>
        </w:tc>
        <w:tc>
          <w:tcPr>
            <w:tcW w:w="1719" w:type="dxa"/>
            <w:vAlign w:val="center"/>
          </w:tcPr>
          <w:p w14:paraId="501A0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接近完成</w:t>
            </w:r>
          </w:p>
        </w:tc>
      </w:tr>
      <w:tr w14:paraId="4FB56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649" w:type="dxa"/>
            <w:vAlign w:val="center"/>
          </w:tcPr>
          <w:p w14:paraId="70B2C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选派思政教师培训人数</w:t>
            </w:r>
          </w:p>
        </w:tc>
        <w:tc>
          <w:tcPr>
            <w:tcW w:w="1720" w:type="dxa"/>
            <w:vAlign w:val="center"/>
          </w:tcPr>
          <w:p w14:paraId="46D0E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≥80人</w:t>
            </w:r>
          </w:p>
        </w:tc>
        <w:tc>
          <w:tcPr>
            <w:tcW w:w="1974" w:type="dxa"/>
            <w:vAlign w:val="center"/>
          </w:tcPr>
          <w:p w14:paraId="1B817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80人</w:t>
            </w:r>
          </w:p>
        </w:tc>
        <w:tc>
          <w:tcPr>
            <w:tcW w:w="1719" w:type="dxa"/>
            <w:vAlign w:val="center"/>
          </w:tcPr>
          <w:p w14:paraId="083EE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eastAsia="仿宋_GB2312"/>
                <w:snapToGrid w:val="0"/>
                <w:sz w:val="32"/>
              </w:rPr>
            </w:pPr>
            <w:r>
              <w:rPr>
                <w:rFonts w:hint="eastAsia" w:eastAsia="仿宋_GB2312"/>
                <w:snapToGrid w:val="0"/>
                <w:sz w:val="32"/>
              </w:rPr>
              <w:t>完成</w:t>
            </w:r>
          </w:p>
        </w:tc>
      </w:tr>
    </w:tbl>
    <w:p w14:paraId="6FE4E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</w:rPr>
      </w:pPr>
      <w:r>
        <w:rPr>
          <w:rFonts w:hint="eastAsia" w:eastAsia="仿宋_GB2312"/>
          <w:snapToGrid w:val="0"/>
          <w:sz w:val="32"/>
        </w:rPr>
        <w:t>2.质量与效果指标</w:t>
      </w:r>
    </w:p>
    <w:p w14:paraId="1BFED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成功创建13所自治区民族团结进步模范学校，3所市级模范学校；1名学生获评全国“新时代好少年”（全区唯一）；首次落实教师“能上能下”机制，降低岗位等级83人；校园安全事故数量为0，优于目标值（≤1场次）。</w:t>
      </w:r>
    </w:p>
    <w:p w14:paraId="7F553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ascii="楷体" w:hAnsi="楷体" w:eastAsia="楷体" w:cs="楷体"/>
          <w:snapToGrid w:val="0"/>
          <w:sz w:val="32"/>
        </w:rPr>
      </w:pPr>
      <w:r>
        <w:rPr>
          <w:rFonts w:hint="eastAsia" w:ascii="楷体" w:hAnsi="楷体" w:eastAsia="楷体" w:cs="楷体"/>
          <w:snapToGrid w:val="0"/>
          <w:sz w:val="32"/>
        </w:rPr>
        <w:t>（二）履职效果情况</w:t>
      </w:r>
    </w:p>
    <w:p w14:paraId="28B14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1.社会效益</w:t>
      </w:r>
      <w:r>
        <w:rPr>
          <w:rFonts w:hint="eastAsia" w:eastAsia="仿宋_GB2312"/>
          <w:snapToGrid w:val="0"/>
          <w:sz w:val="32"/>
          <w:lang w:eastAsia="zh-CN"/>
        </w:rPr>
        <w:t>。</w:t>
      </w:r>
    </w:p>
    <w:p w14:paraId="251E9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群众体育活动参与人数超过2000人次，国民体质监测完成3051人；全民健身中心全年接待市民21.2万人次；</w:t>
      </w:r>
    </w:p>
    <w:p w14:paraId="282B0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开展校园安全巡查1000余次，应急演练900余场，校园安全形势稳定；思政课一体化“1336”品牌初步形成，德育、思政教育覆盖全体学生。</w:t>
      </w:r>
    </w:p>
    <w:p w14:paraId="205EF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</w:rPr>
      </w:pPr>
      <w:r>
        <w:rPr>
          <w:rFonts w:hint="eastAsia" w:eastAsia="仿宋_GB2312"/>
          <w:snapToGrid w:val="0"/>
          <w:sz w:val="32"/>
        </w:rPr>
        <w:t>2.经济效益</w:t>
      </w:r>
    </w:p>
    <w:p w14:paraId="759B5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体育赛事带动经济效益显著：如“南迦巴瓦峰杯”篮球邀请赛直播观看超940万人次，全网阅读量超3420万次，撬动千万级流量，带动旅游和消费；教职工工资增长率超过2%，教师待遇稳步提升。</w:t>
      </w:r>
    </w:p>
    <w:p w14:paraId="3248E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</w:rPr>
      </w:pPr>
      <w:r>
        <w:rPr>
          <w:rFonts w:hint="eastAsia" w:eastAsia="仿宋_GB2312"/>
          <w:snapToGrid w:val="0"/>
          <w:sz w:val="32"/>
        </w:rPr>
        <w:t>3.生态效益（如适用）</w:t>
      </w:r>
    </w:p>
    <w:p w14:paraId="1FB95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体育场馆绿色运营，推进“七彩体育公园”建设；教育系统建设项目注重环保和节能设计。</w:t>
      </w:r>
    </w:p>
    <w:p w14:paraId="421EE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ascii="楷体" w:hAnsi="楷体" w:eastAsia="楷体" w:cs="楷体"/>
          <w:snapToGrid w:val="0"/>
          <w:sz w:val="32"/>
        </w:rPr>
      </w:pPr>
      <w:r>
        <w:rPr>
          <w:rFonts w:hint="eastAsia" w:ascii="楷体" w:hAnsi="楷体" w:eastAsia="楷体" w:cs="楷体"/>
          <w:snapToGrid w:val="0"/>
          <w:sz w:val="32"/>
        </w:rPr>
        <w:t>（三）社会满意度及可持续性影响</w:t>
      </w:r>
    </w:p>
    <w:p w14:paraId="751FB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全市人民对教育工作的满意度达到70%以上，符合目标值；</w:t>
      </w:r>
    </w:p>
    <w:p w14:paraId="07566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教育强市建设规划纲要（2025</w:t>
      </w:r>
      <w:r>
        <w:rPr>
          <w:rFonts w:hint="eastAsia" w:eastAsia="仿宋_GB2312"/>
          <w:snapToGrid w:val="0"/>
          <w:sz w:val="32"/>
          <w:lang w:eastAsia="zh-CN"/>
        </w:rPr>
        <w:t>—</w:t>
      </w:r>
      <w:r>
        <w:rPr>
          <w:rFonts w:hint="eastAsia" w:eastAsia="仿宋_GB2312"/>
          <w:snapToGrid w:val="0"/>
          <w:sz w:val="32"/>
        </w:rPr>
        <w:t>2035年）发布，政策可持续性强；教师队伍建设“十大工程”持续推进，2026年将作为“教师队伍建设巩固年”；体育赛事品牌影响力持续扩大，形成“户外天堂运动林芝”品牌效应。</w:t>
      </w:r>
    </w:p>
    <w:p w14:paraId="1E0A5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ascii="黑体" w:hAnsi="黑体" w:eastAsia="黑体" w:cs="黑体"/>
          <w:snapToGrid w:val="0"/>
          <w:sz w:val="32"/>
        </w:rPr>
      </w:pPr>
      <w:r>
        <w:rPr>
          <w:rFonts w:hint="eastAsia" w:ascii="黑体" w:hAnsi="黑体" w:eastAsia="黑体" w:cs="黑体"/>
          <w:snapToGrid w:val="0"/>
          <w:sz w:val="32"/>
        </w:rPr>
        <w:t>三、部门整体支出绩效中存在问题及改进措施</w:t>
      </w:r>
    </w:p>
    <w:p w14:paraId="089C8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ascii="楷体" w:hAnsi="楷体" w:eastAsia="楷体" w:cs="楷体"/>
          <w:snapToGrid w:val="0"/>
          <w:sz w:val="32"/>
        </w:rPr>
      </w:pPr>
      <w:r>
        <w:rPr>
          <w:rFonts w:hint="eastAsia" w:ascii="楷体" w:hAnsi="楷体" w:eastAsia="楷体" w:cs="楷体"/>
          <w:snapToGrid w:val="0"/>
          <w:sz w:val="32"/>
        </w:rPr>
        <w:t>（一）主要问题及原因分析</w:t>
      </w:r>
    </w:p>
    <w:p w14:paraId="5025F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人口流入地学位供需矛盾突出</w:t>
      </w:r>
      <w:r>
        <w:rPr>
          <w:rFonts w:hint="eastAsia" w:eastAsia="仿宋_GB2312"/>
          <w:snapToGrid w:val="0"/>
          <w:sz w:val="32"/>
          <w:lang w:eastAsia="zh-CN"/>
        </w:rPr>
        <w:t>。</w:t>
      </w:r>
      <w:r>
        <w:rPr>
          <w:rFonts w:hint="eastAsia" w:eastAsia="仿宋_GB2312"/>
          <w:snapToGrid w:val="0"/>
          <w:sz w:val="32"/>
          <w:lang w:val="en-US" w:eastAsia="zh-CN"/>
        </w:rPr>
        <w:t>雅</w:t>
      </w:r>
      <w:bookmarkStart w:id="0" w:name="_GoBack"/>
      <w:bookmarkEnd w:id="0"/>
      <w:r>
        <w:rPr>
          <w:rFonts w:hint="eastAsia" w:eastAsia="仿宋_GB2312"/>
          <w:snapToGrid w:val="0"/>
          <w:sz w:val="32"/>
        </w:rPr>
        <w:t>下水电开发等重大工程推进，城镇化加速，人口流动预测机制不健全，教育投入难以提前精准布局。城乡教育质量差距依然明显</w:t>
      </w:r>
      <w:r>
        <w:rPr>
          <w:rFonts w:hint="eastAsia" w:eastAsia="仿宋_GB2312"/>
          <w:snapToGrid w:val="0"/>
          <w:sz w:val="32"/>
          <w:lang w:eastAsia="zh-CN"/>
        </w:rPr>
        <w:t>。</w:t>
      </w:r>
      <w:r>
        <w:rPr>
          <w:rFonts w:hint="eastAsia" w:eastAsia="仿宋_GB2312"/>
          <w:snapToGrid w:val="0"/>
          <w:sz w:val="32"/>
        </w:rPr>
        <w:t>“城镇挤、乡村弱、择校热”问题未根本扭转，教育资源均衡配置仍需加强。部门协调机制不够完善</w:t>
      </w:r>
      <w:r>
        <w:rPr>
          <w:rFonts w:hint="eastAsia" w:eastAsia="仿宋_GB2312"/>
          <w:snapToGrid w:val="0"/>
          <w:sz w:val="32"/>
          <w:lang w:eastAsia="zh-CN"/>
        </w:rPr>
        <w:t>。</w:t>
      </w:r>
      <w:r>
        <w:rPr>
          <w:rFonts w:hint="eastAsia" w:eastAsia="仿宋_GB2312"/>
          <w:snapToGrid w:val="0"/>
          <w:sz w:val="32"/>
        </w:rPr>
        <w:t>市委教育工作领导小组各成员单位会商机制不够健全，教育合力尚未完全形成。</w:t>
      </w:r>
    </w:p>
    <w:p w14:paraId="17927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ascii="楷体" w:hAnsi="楷体" w:eastAsia="楷体" w:cs="楷体"/>
          <w:snapToGrid w:val="0"/>
          <w:sz w:val="32"/>
        </w:rPr>
      </w:pPr>
      <w:r>
        <w:rPr>
          <w:rFonts w:hint="eastAsia" w:ascii="楷体" w:hAnsi="楷体" w:eastAsia="楷体" w:cs="楷体"/>
          <w:snapToGrid w:val="0"/>
          <w:sz w:val="32"/>
        </w:rPr>
        <w:t>（二）改进的方向和具体措施</w:t>
      </w:r>
    </w:p>
    <w:p w14:paraId="7C3E7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加强人口与教育需求预测</w:t>
      </w:r>
      <w:r>
        <w:rPr>
          <w:rFonts w:hint="eastAsia" w:eastAsia="仿宋_GB2312"/>
          <w:snapToGrid w:val="0"/>
          <w:sz w:val="32"/>
          <w:lang w:eastAsia="zh-CN"/>
        </w:rPr>
        <w:t>。</w:t>
      </w:r>
      <w:r>
        <w:rPr>
          <w:rFonts w:hint="eastAsia" w:eastAsia="仿宋_GB2312"/>
          <w:snapToGrid w:val="0"/>
          <w:sz w:val="32"/>
        </w:rPr>
        <w:t>建立教育学位需求动态监测机制，提前谋划学校布局和资源投入。推进城乡教育一体化发展</w:t>
      </w:r>
      <w:r>
        <w:rPr>
          <w:rFonts w:hint="eastAsia" w:eastAsia="仿宋_GB2312"/>
          <w:snapToGrid w:val="0"/>
          <w:sz w:val="32"/>
          <w:lang w:eastAsia="zh-CN"/>
        </w:rPr>
        <w:t>。</w:t>
      </w:r>
      <w:r>
        <w:rPr>
          <w:rFonts w:hint="eastAsia" w:eastAsia="仿宋_GB2312"/>
          <w:snapToGrid w:val="0"/>
          <w:sz w:val="32"/>
        </w:rPr>
        <w:t>深化集团化办学，推动优质教育资源向基层和边境倾斜，提升乡村学校办学质量。完善教育工作领导小组运行机制</w:t>
      </w:r>
      <w:r>
        <w:rPr>
          <w:rFonts w:hint="eastAsia" w:eastAsia="仿宋_GB2312"/>
          <w:snapToGrid w:val="0"/>
          <w:sz w:val="32"/>
          <w:lang w:eastAsia="zh-CN"/>
        </w:rPr>
        <w:t>。</w:t>
      </w:r>
      <w:r>
        <w:rPr>
          <w:rFonts w:hint="eastAsia" w:eastAsia="仿宋_GB2312"/>
          <w:snapToGrid w:val="0"/>
          <w:sz w:val="32"/>
        </w:rPr>
        <w:t>健全成员单位定期会商、信息共享、协同推进机制，形成教育发展合力。强化预算绩效管理</w:t>
      </w:r>
      <w:r>
        <w:rPr>
          <w:rFonts w:hint="eastAsia" w:eastAsia="仿宋_GB2312"/>
          <w:snapToGrid w:val="0"/>
          <w:sz w:val="32"/>
          <w:lang w:eastAsia="zh-CN"/>
        </w:rPr>
        <w:t>。</w:t>
      </w:r>
      <w:r>
        <w:rPr>
          <w:rFonts w:hint="eastAsia" w:eastAsia="仿宋_GB2312"/>
          <w:snapToGrid w:val="0"/>
          <w:sz w:val="32"/>
        </w:rPr>
        <w:t>进一步细化绩效指标，加强项目支出过程监控，提升财政资金使用效益。</w:t>
      </w:r>
    </w:p>
    <w:p w14:paraId="773DF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ascii="黑体" w:hAnsi="黑体" w:eastAsia="黑体" w:cs="黑体"/>
          <w:snapToGrid w:val="0"/>
          <w:sz w:val="32"/>
        </w:rPr>
      </w:pPr>
      <w:r>
        <w:rPr>
          <w:rFonts w:hint="eastAsia" w:ascii="黑体" w:hAnsi="黑体" w:eastAsia="黑体" w:cs="黑体"/>
          <w:snapToGrid w:val="0"/>
          <w:sz w:val="32"/>
        </w:rPr>
        <w:t>四、绩效自评结果拟应用和公开情况</w:t>
      </w:r>
    </w:p>
    <w:p w14:paraId="736A6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</w:rPr>
      </w:pPr>
      <w:r>
        <w:rPr>
          <w:rFonts w:hint="eastAsia" w:eastAsia="仿宋_GB2312"/>
          <w:snapToGrid w:val="0"/>
          <w:sz w:val="32"/>
          <w:lang w:eastAsia="zh-CN"/>
        </w:rPr>
        <w:t>（</w:t>
      </w:r>
      <w:r>
        <w:rPr>
          <w:rFonts w:hint="eastAsia" w:eastAsia="仿宋_GB2312"/>
          <w:snapToGrid w:val="0"/>
          <w:sz w:val="32"/>
          <w:lang w:val="en-US" w:eastAsia="zh-CN"/>
        </w:rPr>
        <w:t>一</w:t>
      </w:r>
      <w:r>
        <w:rPr>
          <w:rFonts w:hint="eastAsia" w:eastAsia="仿宋_GB2312"/>
          <w:snapToGrid w:val="0"/>
          <w:sz w:val="32"/>
          <w:lang w:eastAsia="zh-CN"/>
        </w:rPr>
        <w:t>）</w:t>
      </w:r>
      <w:r>
        <w:rPr>
          <w:rFonts w:hint="eastAsia" w:eastAsia="仿宋_GB2312"/>
          <w:snapToGrid w:val="0"/>
          <w:sz w:val="32"/>
        </w:rPr>
        <w:t>本次绩效自评结果将作为2026年度预算安排和项目调整的重要依据；</w:t>
      </w:r>
    </w:p>
    <w:p w14:paraId="59815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  <w:lang w:eastAsia="zh-CN"/>
        </w:rPr>
        <w:t>（</w:t>
      </w:r>
      <w:r>
        <w:rPr>
          <w:rFonts w:hint="eastAsia" w:eastAsia="仿宋_GB2312"/>
          <w:snapToGrid w:val="0"/>
          <w:sz w:val="32"/>
          <w:lang w:val="en-US" w:eastAsia="zh-CN"/>
        </w:rPr>
        <w:t>二</w:t>
      </w:r>
      <w:r>
        <w:rPr>
          <w:rFonts w:hint="eastAsia" w:eastAsia="仿宋_GB2312"/>
          <w:snapToGrid w:val="0"/>
          <w:sz w:val="32"/>
          <w:lang w:eastAsia="zh-CN"/>
        </w:rPr>
        <w:t>）</w:t>
      </w:r>
      <w:r>
        <w:rPr>
          <w:rFonts w:hint="eastAsia" w:eastAsia="仿宋_GB2312"/>
          <w:snapToGrid w:val="0"/>
          <w:sz w:val="32"/>
        </w:rPr>
        <w:t>对绩效评价中发现的问题，将限期整改并纳入年度考核；自评报告将按要求在林芝市人民政府或市教育局门户网站公开，接受社会监督；同时报送市财政局，作为部门整体支出绩效考评的重要参考。</w:t>
      </w:r>
    </w:p>
    <w:p w14:paraId="1BFEB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</w:rPr>
      </w:pPr>
    </w:p>
    <w:p w14:paraId="3D642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  <w:lang w:eastAsia="zh-CN"/>
        </w:rPr>
      </w:pPr>
      <w:r>
        <w:rPr>
          <w:rFonts w:hint="eastAsia" w:eastAsia="仿宋_GB2312"/>
          <w:snapToGrid w:val="0"/>
          <w:sz w:val="32"/>
        </w:rPr>
        <w:t>附件：2025年度部门整体支出绩效目标申报表</w:t>
      </w:r>
    </w:p>
    <w:p w14:paraId="5ED34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</w:rPr>
      </w:pPr>
    </w:p>
    <w:p w14:paraId="6E3B2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textAlignment w:val="auto"/>
        <w:rPr>
          <w:rFonts w:hint="eastAsia" w:eastAsia="仿宋_GB2312"/>
          <w:snapToGrid w:val="0"/>
          <w:sz w:val="32"/>
        </w:rPr>
      </w:pPr>
    </w:p>
    <w:p w14:paraId="29B1F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jc w:val="right"/>
        <w:textAlignment w:val="auto"/>
        <w:rPr>
          <w:rFonts w:hint="eastAsia" w:eastAsia="仿宋_GB2312"/>
          <w:snapToGrid w:val="0"/>
          <w:sz w:val="32"/>
          <w:lang w:val="en-US" w:eastAsia="zh-CN"/>
        </w:rPr>
      </w:pPr>
      <w:r>
        <w:rPr>
          <w:rFonts w:hint="eastAsia" w:eastAsia="仿宋_GB2312"/>
          <w:snapToGrid w:val="0"/>
          <w:sz w:val="32"/>
        </w:rPr>
        <w:t>林芝市教育局</w:t>
      </w:r>
      <w:r>
        <w:rPr>
          <w:rFonts w:hint="eastAsia" w:eastAsia="仿宋_GB2312"/>
          <w:snapToGrid w:val="0"/>
          <w:sz w:val="32"/>
          <w:lang w:val="en-US" w:eastAsia="zh-CN"/>
        </w:rPr>
        <w:t xml:space="preserve">    </w:t>
      </w:r>
    </w:p>
    <w:p w14:paraId="489FE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50" w:firstLineChars="200"/>
        <w:jc w:val="right"/>
        <w:textAlignment w:val="auto"/>
        <w:rPr>
          <w:rFonts w:hint="eastAsia" w:eastAsia="仿宋_GB2312"/>
          <w:snapToGrid w:val="0"/>
          <w:sz w:val="32"/>
          <w:lang w:val="en-US" w:eastAsia="zh-CN"/>
        </w:rPr>
      </w:pPr>
      <w:r>
        <w:rPr>
          <w:rFonts w:hint="eastAsia" w:eastAsia="仿宋_GB2312"/>
          <w:snapToGrid w:val="0"/>
          <w:sz w:val="32"/>
        </w:rPr>
        <w:t>2026年</w:t>
      </w:r>
      <w:r>
        <w:rPr>
          <w:rFonts w:hint="eastAsia" w:eastAsia="仿宋_GB2312"/>
          <w:snapToGrid w:val="0"/>
          <w:sz w:val="32"/>
          <w:lang w:val="en-US" w:eastAsia="zh-CN"/>
        </w:rPr>
        <w:t>5</w:t>
      </w:r>
      <w:r>
        <w:rPr>
          <w:rFonts w:hint="eastAsia" w:eastAsia="仿宋_GB2312"/>
          <w:snapToGrid w:val="0"/>
          <w:sz w:val="32"/>
        </w:rPr>
        <w:t>月</w:t>
      </w:r>
      <w:r>
        <w:rPr>
          <w:rFonts w:hint="eastAsia" w:eastAsia="仿宋_GB2312"/>
          <w:snapToGrid w:val="0"/>
          <w:sz w:val="32"/>
          <w:lang w:val="en-US" w:eastAsia="zh-CN"/>
        </w:rPr>
        <w:t>19</w:t>
      </w:r>
      <w:r>
        <w:rPr>
          <w:rFonts w:hint="eastAsia" w:eastAsia="仿宋_GB2312"/>
          <w:snapToGrid w:val="0"/>
          <w:sz w:val="32"/>
        </w:rPr>
        <w:t>日</w:t>
      </w:r>
      <w:r>
        <w:rPr>
          <w:rFonts w:hint="eastAsia" w:eastAsia="仿宋_GB2312"/>
          <w:snapToGrid w:val="0"/>
          <w:sz w:val="32"/>
          <w:lang w:val="en-US" w:eastAsia="zh-CN"/>
        </w:rPr>
        <w:t xml:space="preserve">  </w:t>
      </w:r>
    </w:p>
    <w:p w14:paraId="0A11BBB5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283511CB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564B3623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0098F732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313D39F2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173BB213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2E5D8875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3A4B2E0B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7AE303D6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1050A327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4479A1A7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65C0E581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007EEF6F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77201ED3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76E556F3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2C3454F0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</w:p>
    <w:p w14:paraId="006C18B3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  <w:r>
        <w:rPr>
          <w:rFonts w:hint="eastAsia" w:eastAsia="仿宋_GB2312"/>
          <w:snapToGrid w:val="0"/>
          <w:sz w:val="32"/>
          <w:lang w:val="en-US" w:eastAsia="zh-CN"/>
        </w:rPr>
        <w:t>附件：</w:t>
      </w:r>
    </w:p>
    <w:p w14:paraId="755913B2">
      <w:pPr>
        <w:bidi w:val="0"/>
        <w:rPr>
          <w:rFonts w:hint="eastAsia" w:eastAsia="仿宋_GB2312"/>
          <w:snapToGrid w:val="0"/>
          <w:sz w:val="32"/>
          <w:lang w:val="en-US" w:eastAsia="zh-CN"/>
        </w:rPr>
      </w:pPr>
      <w:r>
        <w:rPr>
          <w:rFonts w:hint="eastAsia" w:eastAsia="仿宋_GB2312"/>
          <w:snapToGrid w:val="0"/>
          <w:sz w:val="32"/>
        </w:rPr>
        <w:drawing>
          <wp:inline distT="0" distB="0" distL="114300" distR="114300">
            <wp:extent cx="5602605" cy="5574665"/>
            <wp:effectExtent l="0" t="0" r="17145" b="698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2605" cy="557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2098" w:right="1474" w:bottom="1984" w:left="1587" w:header="851" w:footer="992" w:gutter="0"/>
      <w:lnNumType w:countBy="0"/>
      <w:pgNumType w:fmt="decimal"/>
      <w:cols w:space="0" w:num="1"/>
      <w:rtlGutter w:val="0"/>
      <w:docGrid w:type="linesAndChars" w:linePitch="579" w:charSpace="216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CE8580-3954-426F-86CA-5BE022564FC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017CB74-A7E7-42DF-81CD-7C252F294DF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E682FA01-D6F5-41F0-A9CA-28D740BACC4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91AECD0-BBAF-4D65-815D-F794EB2D83B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5F19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4723130</wp:posOffset>
              </wp:positionH>
              <wp:positionV relativeFrom="paragraph">
                <wp:posOffset>-247015</wp:posOffset>
              </wp:positionV>
              <wp:extent cx="893445" cy="39306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3445" cy="3930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E3EEF3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1.9pt;margin-top:-19.45pt;height:30.95pt;width:70.35pt;mso-position-horizontal-relative:margin;z-index:251659264;mso-width-relative:page;mso-height-relative:page;" filled="f" stroked="f" coordsize="21600,21600" o:gfxdata="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bd+zc9kAAAAKAQAADwAAAAAAAAABACAAAAAiAAAAZHJzL2Rv&#10;d25yZXYueG1sUEsBAhQAFAAAAAgAh07iQOV4pxs5AgAAYQQAAA4AAAAAAAAAAQAgAAAAKA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AE3EEF3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776751"/>
    <w:rsid w:val="0AF21CAD"/>
    <w:rsid w:val="223C72B3"/>
    <w:rsid w:val="22656775"/>
    <w:rsid w:val="40936C32"/>
    <w:rsid w:val="4CF124C7"/>
    <w:rsid w:val="51776751"/>
    <w:rsid w:val="597F7800"/>
    <w:rsid w:val="670B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32b727-3537-48ab-9a72-9aa016cfac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2317</Words>
  <Characters>2509</Characters>
  <Lines>0</Lines>
  <Paragraphs>0</Paragraphs>
  <TotalTime>43</TotalTime>
  <ScaleCrop>false</ScaleCrop>
  <LinksUpToDate>false</LinksUpToDate>
  <CharactersWithSpaces>2515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2026-05-19T01:45:00Z</dcterms:created>
  <dc:creator>Administrator</dc:creator>
  <cp:lastModifiedBy>Mr.D</cp:lastModifiedBy>
  <cp:lastPrinted>2026-05-19T02:06:00Z</cp:lastPrinted>
  <dcterms:modified xsi:type="dcterms:W3CDTF">2026-09-29T04:14:54Z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61543150D6E94C979A6F3681C415E45E_13</vt:lpwstr>
  </property>
  <property fmtid="{D5CDD505-2E9C-101B-9397-08002B2CF9AE}" pid="4" name="KSOTemplateDocerSaveRecord">
    <vt:lpwstr>eyJoZGlkIjoiZTgyODIxNjJiOTliNzU2NjAxZmFmYjIzNzc2NjI4NDgiLCJ1c2VySWQiOiIxOTA2NzE0NjEifQ==</vt:lpwstr>
  </property>
</Properties>
</file>